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AF5A" w14:textId="032171F4" w:rsidR="000932CA" w:rsidRDefault="000932CA" w:rsidP="00057B52">
      <w:pPr>
        <w:spacing w:before="660"/>
        <w:contextualSpacing/>
        <w:jc w:val="center"/>
        <w:rPr>
          <w:rFonts w:ascii="Arial" w:hAnsi="Arial" w:cs="Arial"/>
          <w:b/>
          <w:bCs/>
          <w:sz w:val="33"/>
          <w:szCs w:val="33"/>
        </w:rPr>
      </w:pPr>
      <w:r>
        <w:rPr>
          <w:rFonts w:ascii="Arial" w:hAnsi="Arial" w:cs="Arial"/>
          <w:b/>
          <w:bCs/>
          <w:sz w:val="33"/>
          <w:szCs w:val="33"/>
        </w:rPr>
        <w:t>IMPORTANT NOTICE ABOUT</w:t>
      </w:r>
    </w:p>
    <w:p w14:paraId="5FEF2F4E" w14:textId="0ABFC0AA" w:rsidR="00057B52" w:rsidRDefault="000932CA" w:rsidP="00057B52">
      <w:pPr>
        <w:spacing w:before="660"/>
        <w:contextualSpacing/>
        <w:jc w:val="center"/>
        <w:rPr>
          <w:rFonts w:ascii="Arial" w:hAnsi="Arial" w:cs="Arial"/>
          <w:b/>
          <w:bCs/>
          <w:sz w:val="33"/>
          <w:szCs w:val="33"/>
        </w:rPr>
      </w:pPr>
      <w:r>
        <w:rPr>
          <w:rFonts w:ascii="Arial" w:hAnsi="Arial" w:cs="Arial"/>
          <w:b/>
          <w:bCs/>
          <w:sz w:val="33"/>
          <w:szCs w:val="33"/>
        </w:rPr>
        <w:t>BENEFIT IMPROVEMENT</w:t>
      </w:r>
      <w:r w:rsidR="00270CDD">
        <w:rPr>
          <w:rFonts w:ascii="Arial" w:hAnsi="Arial" w:cs="Arial"/>
          <w:b/>
          <w:bCs/>
          <w:sz w:val="33"/>
          <w:szCs w:val="33"/>
        </w:rPr>
        <w:t>S TO THE PLAN</w:t>
      </w:r>
    </w:p>
    <w:p w14:paraId="12EA0FB7" w14:textId="71E9B93C" w:rsidR="00FC580D" w:rsidRPr="001E5308" w:rsidRDefault="00950C4C" w:rsidP="003D29AD">
      <w:pPr>
        <w:spacing w:before="500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August</w:t>
      </w:r>
      <w:r w:rsidR="00A21117">
        <w:rPr>
          <w:rFonts w:ascii="Arial" w:hAnsi="Arial" w:cs="Arial"/>
          <w:szCs w:val="22"/>
        </w:rPr>
        <w:t xml:space="preserve"> 2022</w:t>
      </w:r>
    </w:p>
    <w:p w14:paraId="2F5BE56D" w14:textId="3B20E73F" w:rsidR="008B194E" w:rsidRPr="001E5308" w:rsidRDefault="008B194E" w:rsidP="003D29AD">
      <w:pPr>
        <w:spacing w:before="500"/>
        <w:rPr>
          <w:rFonts w:ascii="Arial" w:hAnsi="Arial" w:cs="Arial"/>
          <w:szCs w:val="22"/>
        </w:rPr>
      </w:pPr>
      <w:r w:rsidRPr="001E5308">
        <w:rPr>
          <w:rFonts w:ascii="Arial" w:hAnsi="Arial" w:cs="Arial"/>
          <w:szCs w:val="22"/>
        </w:rPr>
        <w:t>To All Participants</w:t>
      </w:r>
      <w:r w:rsidR="00946E52">
        <w:rPr>
          <w:rFonts w:ascii="Arial" w:hAnsi="Arial" w:cs="Arial"/>
          <w:szCs w:val="22"/>
        </w:rPr>
        <w:t xml:space="preserve"> of the </w:t>
      </w:r>
      <w:r w:rsidR="00946E52" w:rsidRPr="00A21117">
        <w:rPr>
          <w:rFonts w:ascii="Arial" w:hAnsi="Arial" w:cs="Arial"/>
          <w:szCs w:val="22"/>
        </w:rPr>
        <w:t>IBEW Local 701 Welfare Fun</w:t>
      </w:r>
      <w:r w:rsidR="00270CDD">
        <w:rPr>
          <w:rFonts w:ascii="Arial" w:hAnsi="Arial" w:cs="Arial"/>
          <w:szCs w:val="22"/>
        </w:rPr>
        <w:t>d:</w:t>
      </w:r>
    </w:p>
    <w:p w14:paraId="53026234" w14:textId="4C5FF210" w:rsidR="00270CDD" w:rsidRDefault="00270CDD" w:rsidP="00950C4C">
      <w:pPr>
        <w:spacing w:before="2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Board of Trustees have made the following improvements to your plan of benefits</w:t>
      </w:r>
      <w:r w:rsidR="00E266CA">
        <w:rPr>
          <w:rFonts w:ascii="Arial" w:hAnsi="Arial" w:cs="Arial"/>
          <w:szCs w:val="22"/>
        </w:rPr>
        <w:t xml:space="preserve"> effective August 1, 2022</w:t>
      </w:r>
      <w:r>
        <w:rPr>
          <w:rFonts w:ascii="Arial" w:hAnsi="Arial" w:cs="Arial"/>
          <w:szCs w:val="22"/>
        </w:rPr>
        <w:t>.</w:t>
      </w:r>
      <w:r w:rsidR="00E266CA">
        <w:rPr>
          <w:rFonts w:ascii="Arial" w:hAnsi="Arial" w:cs="Arial"/>
          <w:szCs w:val="22"/>
        </w:rPr>
        <w:t xml:space="preserve">  </w:t>
      </w:r>
      <w:r w:rsidR="00E266CA" w:rsidRPr="001E5308">
        <w:rPr>
          <w:rFonts w:ascii="Arial" w:hAnsi="Arial" w:cs="Arial"/>
          <w:szCs w:val="22"/>
        </w:rPr>
        <w:t>If you have any questions regarding these changes, please contact the Fund Office.</w:t>
      </w:r>
    </w:p>
    <w:p w14:paraId="6620218D" w14:textId="6A97CF1E" w:rsidR="00270CDD" w:rsidRPr="00270CDD" w:rsidRDefault="00270CDD" w:rsidP="00270CDD">
      <w:pPr>
        <w:spacing w:before="330"/>
        <w:jc w:val="center"/>
        <w:rPr>
          <w:rFonts w:ascii="Arial" w:hAnsi="Arial" w:cs="Arial"/>
          <w:b/>
          <w:bCs/>
          <w:sz w:val="24"/>
          <w:szCs w:val="24"/>
        </w:rPr>
      </w:pPr>
      <w:r w:rsidRPr="00270CDD">
        <w:rPr>
          <w:rFonts w:ascii="Arial" w:hAnsi="Arial" w:cs="Arial"/>
          <w:b/>
          <w:bCs/>
          <w:sz w:val="24"/>
          <w:szCs w:val="24"/>
        </w:rPr>
        <w:t>Enhancements to the Specialty Drug Program</w:t>
      </w:r>
    </w:p>
    <w:p w14:paraId="1A3459AB" w14:textId="23D33F22" w:rsidR="00D33CA6" w:rsidRDefault="00E266CA" w:rsidP="00D33CA6">
      <w:pPr>
        <w:spacing w:before="220" w:after="2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Actives and pre-Medicare retirees </w:t>
      </w:r>
      <w:r w:rsidR="00D33CA6">
        <w:rPr>
          <w:rFonts w:ascii="Arial" w:hAnsi="Arial" w:cs="Arial"/>
          <w:szCs w:val="22"/>
        </w:rPr>
        <w:t xml:space="preserve">can receive 90-day supplies for generic specialty and High Impact Advocacy (HIA) prescription drugs.  This includes certain </w:t>
      </w:r>
      <w:r w:rsidR="00D33CA6" w:rsidRPr="00BC11BC">
        <w:rPr>
          <w:rFonts w:ascii="Arial" w:hAnsi="Arial" w:cs="Arial"/>
          <w:szCs w:val="22"/>
        </w:rPr>
        <w:t xml:space="preserve">brand HIV agents, </w:t>
      </w:r>
      <w:r w:rsidR="00D33CA6">
        <w:rPr>
          <w:rFonts w:ascii="Arial" w:hAnsi="Arial" w:cs="Arial"/>
          <w:szCs w:val="22"/>
        </w:rPr>
        <w:t>c</w:t>
      </w:r>
      <w:r w:rsidR="00D33CA6" w:rsidRPr="00BC11BC">
        <w:rPr>
          <w:rFonts w:ascii="Arial" w:hAnsi="Arial" w:cs="Arial"/>
          <w:szCs w:val="22"/>
        </w:rPr>
        <w:t xml:space="preserve">hronic </w:t>
      </w:r>
      <w:r w:rsidR="00D33CA6">
        <w:rPr>
          <w:rFonts w:ascii="Arial" w:hAnsi="Arial" w:cs="Arial"/>
          <w:szCs w:val="22"/>
        </w:rPr>
        <w:t>m</w:t>
      </w:r>
      <w:r w:rsidR="00D33CA6" w:rsidRPr="00BC11BC">
        <w:rPr>
          <w:rFonts w:ascii="Arial" w:hAnsi="Arial" w:cs="Arial"/>
          <w:szCs w:val="22"/>
        </w:rPr>
        <w:t>igraine agents, non-insulin</w:t>
      </w:r>
      <w:r w:rsidR="00D33CA6">
        <w:rPr>
          <w:rFonts w:ascii="Arial" w:hAnsi="Arial" w:cs="Arial"/>
          <w:szCs w:val="22"/>
        </w:rPr>
        <w:t xml:space="preserve"> </w:t>
      </w:r>
      <w:r w:rsidR="00D33CA6" w:rsidRPr="00BC11BC">
        <w:rPr>
          <w:rFonts w:ascii="Arial" w:hAnsi="Arial" w:cs="Arial"/>
          <w:szCs w:val="22"/>
        </w:rPr>
        <w:t>diabetic injections and oral agents, and injectable cholesterol lowering agents</w:t>
      </w:r>
      <w:r w:rsidR="00D33CA6">
        <w:rPr>
          <w:rFonts w:ascii="Arial" w:hAnsi="Arial" w:cs="Arial"/>
          <w:szCs w:val="22"/>
        </w:rPr>
        <w:t xml:space="preserve"> will now.  Plan exclusions will still apply, and participant payments will remain the same:</w:t>
      </w:r>
    </w:p>
    <w:tbl>
      <w:tblPr>
        <w:tblW w:w="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365"/>
      </w:tblGrid>
      <w:tr w:rsidR="00D33CA6" w:rsidRPr="00D81C99" w14:paraId="42FD2D90" w14:textId="77777777" w:rsidTr="00B30DE0">
        <w:trPr>
          <w:jc w:val="center"/>
        </w:trPr>
        <w:tc>
          <w:tcPr>
            <w:tcW w:w="2128" w:type="dxa"/>
            <w:vAlign w:val="center"/>
          </w:tcPr>
          <w:p w14:paraId="6560C033" w14:textId="77777777" w:rsidR="00D33CA6" w:rsidRPr="00D81C99" w:rsidRDefault="00D33CA6" w:rsidP="00B30DE0">
            <w:pPr>
              <w:pStyle w:val="SOB1Bold"/>
              <w:rPr>
                <w:rFonts w:ascii="Arial Narrow" w:hAnsi="Arial Narrow"/>
                <w:b w:val="0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 w:val="0"/>
                <w:bCs/>
                <w:sz w:val="20"/>
                <w:szCs w:val="20"/>
              </w:rPr>
              <w:t>30-Day Retail</w:t>
            </w:r>
          </w:p>
        </w:tc>
        <w:tc>
          <w:tcPr>
            <w:tcW w:w="2365" w:type="dxa"/>
          </w:tcPr>
          <w:p w14:paraId="4BBA3E84" w14:textId="77777777" w:rsidR="00D33CA6" w:rsidRPr="00D81C99" w:rsidRDefault="00D33CA6" w:rsidP="00B30DE0">
            <w:pPr>
              <w:pStyle w:val="SOBRightCentered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33CA6" w:rsidRPr="00D81C99" w14:paraId="3A7ABA2E" w14:textId="77777777" w:rsidTr="00B30DE0">
        <w:trPr>
          <w:jc w:val="center"/>
        </w:trPr>
        <w:tc>
          <w:tcPr>
            <w:tcW w:w="2128" w:type="dxa"/>
            <w:vAlign w:val="center"/>
          </w:tcPr>
          <w:p w14:paraId="05C9BE77" w14:textId="77777777" w:rsidR="00D33CA6" w:rsidRPr="00D81C99" w:rsidRDefault="00D33CA6" w:rsidP="00B30DE0">
            <w:pPr>
              <w:pStyle w:val="SOB2"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>Generic Drugs</w:t>
            </w:r>
          </w:p>
        </w:tc>
        <w:tc>
          <w:tcPr>
            <w:tcW w:w="2365" w:type="dxa"/>
          </w:tcPr>
          <w:p w14:paraId="279C83D8" w14:textId="77777777" w:rsidR="00D33CA6" w:rsidRPr="00D81C99" w:rsidRDefault="00D33CA6" w:rsidP="00B30DE0">
            <w:pPr>
              <w:pStyle w:val="SOBRightCentered"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>$5</w:t>
            </w:r>
          </w:p>
        </w:tc>
      </w:tr>
      <w:tr w:rsidR="00D33CA6" w:rsidRPr="00D81C99" w14:paraId="74331922" w14:textId="77777777" w:rsidTr="00B30DE0">
        <w:trPr>
          <w:jc w:val="center"/>
        </w:trPr>
        <w:tc>
          <w:tcPr>
            <w:tcW w:w="2128" w:type="dxa"/>
            <w:vAlign w:val="center"/>
          </w:tcPr>
          <w:p w14:paraId="11453FD8" w14:textId="77777777" w:rsidR="00D33CA6" w:rsidRPr="00D81C99" w:rsidRDefault="00D33CA6" w:rsidP="00B30DE0">
            <w:pPr>
              <w:pStyle w:val="SOB2"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>Preferred Brands</w:t>
            </w:r>
          </w:p>
        </w:tc>
        <w:tc>
          <w:tcPr>
            <w:tcW w:w="2365" w:type="dxa"/>
          </w:tcPr>
          <w:p w14:paraId="28AEFFBC" w14:textId="77777777" w:rsidR="00D33CA6" w:rsidRDefault="00D33CA6" w:rsidP="00B30DE0">
            <w:pPr>
              <w:pStyle w:val="SOBRightCentered"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 xml:space="preserve">20%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w</w:t>
            </w:r>
            <w:r w:rsidRPr="00D81C99">
              <w:rPr>
                <w:rFonts w:ascii="Arial Narrow" w:hAnsi="Arial Narrow"/>
                <w:bCs/>
                <w:sz w:val="20"/>
                <w:szCs w:val="20"/>
              </w:rPr>
              <w:t xml:space="preserve">ith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D81C99">
              <w:rPr>
                <w:rFonts w:ascii="Arial Narrow" w:hAnsi="Arial Narrow"/>
                <w:bCs/>
                <w:sz w:val="20"/>
                <w:szCs w:val="20"/>
              </w:rPr>
              <w:t xml:space="preserve"> Min</w:t>
            </w:r>
            <w:r>
              <w:rPr>
                <w:rFonts w:ascii="Arial Narrow" w:hAnsi="Arial Narrow"/>
                <w:bCs/>
                <w:sz w:val="20"/>
                <w:szCs w:val="20"/>
              </w:rPr>
              <w:t>imum</w:t>
            </w:r>
            <w:r w:rsidRPr="00D81C9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D81C99">
              <w:rPr>
                <w:rFonts w:ascii="Arial Narrow" w:hAnsi="Arial Narrow"/>
                <w:bCs/>
                <w:sz w:val="20"/>
                <w:szCs w:val="20"/>
              </w:rPr>
              <w:t>f $20,</w:t>
            </w:r>
          </w:p>
          <w:p w14:paraId="5C95A6F6" w14:textId="77777777" w:rsidR="00D33CA6" w:rsidRPr="00D81C99" w:rsidRDefault="00D33CA6" w:rsidP="00B30DE0">
            <w:pPr>
              <w:pStyle w:val="SOBRightCentered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</w:t>
            </w:r>
            <w:r w:rsidRPr="00D81C99">
              <w:rPr>
                <w:rFonts w:ascii="Arial Narrow" w:hAnsi="Arial Narrow"/>
                <w:bCs/>
                <w:sz w:val="20"/>
                <w:szCs w:val="20"/>
              </w:rPr>
              <w:t xml:space="preserve">o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D81C99">
              <w:rPr>
                <w:rFonts w:ascii="Arial Narrow" w:hAnsi="Arial Narrow"/>
                <w:bCs/>
                <w:sz w:val="20"/>
                <w:szCs w:val="20"/>
              </w:rPr>
              <w:t xml:space="preserve"> Max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imum of </w:t>
            </w:r>
            <w:r w:rsidRPr="00D81C99">
              <w:rPr>
                <w:rFonts w:ascii="Arial Narrow" w:hAnsi="Arial Narrow"/>
                <w:bCs/>
                <w:sz w:val="20"/>
                <w:szCs w:val="20"/>
              </w:rPr>
              <w:t>$30</w:t>
            </w:r>
          </w:p>
        </w:tc>
      </w:tr>
      <w:tr w:rsidR="00D33CA6" w:rsidRPr="00D81C99" w14:paraId="2153AA1F" w14:textId="77777777" w:rsidTr="00B30DE0">
        <w:trPr>
          <w:jc w:val="center"/>
        </w:trPr>
        <w:tc>
          <w:tcPr>
            <w:tcW w:w="2128" w:type="dxa"/>
            <w:vAlign w:val="center"/>
          </w:tcPr>
          <w:p w14:paraId="67583186" w14:textId="77777777" w:rsidR="00D33CA6" w:rsidRPr="00D81C99" w:rsidRDefault="00D33CA6" w:rsidP="00B30DE0">
            <w:pPr>
              <w:pStyle w:val="SOB2"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>Non-Preferred Brands</w:t>
            </w:r>
          </w:p>
        </w:tc>
        <w:tc>
          <w:tcPr>
            <w:tcW w:w="2365" w:type="dxa"/>
          </w:tcPr>
          <w:p w14:paraId="3D70CB67" w14:textId="77777777" w:rsidR="00D33CA6" w:rsidRDefault="00D33CA6" w:rsidP="00B30DE0">
            <w:pPr>
              <w:pStyle w:val="SOBRightCentered"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 xml:space="preserve">20%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w</w:t>
            </w:r>
            <w:r w:rsidRPr="00D81C99">
              <w:rPr>
                <w:rFonts w:ascii="Arial Narrow" w:hAnsi="Arial Narrow"/>
                <w:bCs/>
                <w:sz w:val="20"/>
                <w:szCs w:val="20"/>
              </w:rPr>
              <w:t xml:space="preserve">ith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D81C99">
              <w:rPr>
                <w:rFonts w:ascii="Arial Narrow" w:hAnsi="Arial Narrow"/>
                <w:bCs/>
                <w:sz w:val="20"/>
                <w:szCs w:val="20"/>
              </w:rPr>
              <w:t xml:space="preserve"> Min</w:t>
            </w:r>
            <w:r>
              <w:rPr>
                <w:rFonts w:ascii="Arial Narrow" w:hAnsi="Arial Narrow"/>
                <w:bCs/>
                <w:sz w:val="20"/>
                <w:szCs w:val="20"/>
              </w:rPr>
              <w:t>imum</w:t>
            </w:r>
            <w:r w:rsidRPr="00D81C9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D81C99">
              <w:rPr>
                <w:rFonts w:ascii="Arial Narrow" w:hAnsi="Arial Narrow"/>
                <w:bCs/>
                <w:sz w:val="20"/>
                <w:szCs w:val="20"/>
              </w:rPr>
              <w:t>f $2</w:t>
            </w:r>
            <w:r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D81C99">
              <w:rPr>
                <w:rFonts w:ascii="Arial Narrow" w:hAnsi="Arial Narrow"/>
                <w:bCs/>
                <w:sz w:val="20"/>
                <w:szCs w:val="20"/>
              </w:rPr>
              <w:t>,</w:t>
            </w:r>
          </w:p>
          <w:p w14:paraId="2B381393" w14:textId="77777777" w:rsidR="00D33CA6" w:rsidRPr="00D81C99" w:rsidRDefault="00D33CA6" w:rsidP="00B30DE0">
            <w:pPr>
              <w:pStyle w:val="SOBRightCentered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</w:t>
            </w:r>
            <w:r w:rsidRPr="00D81C99">
              <w:rPr>
                <w:rFonts w:ascii="Arial Narrow" w:hAnsi="Arial Narrow"/>
                <w:bCs/>
                <w:sz w:val="20"/>
                <w:szCs w:val="20"/>
              </w:rPr>
              <w:t xml:space="preserve">o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D81C99">
              <w:rPr>
                <w:rFonts w:ascii="Arial Narrow" w:hAnsi="Arial Narrow"/>
                <w:bCs/>
                <w:sz w:val="20"/>
                <w:szCs w:val="20"/>
              </w:rPr>
              <w:t xml:space="preserve"> Max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imum of </w:t>
            </w:r>
            <w:r w:rsidRPr="00D81C99">
              <w:rPr>
                <w:rFonts w:ascii="Arial Narrow" w:hAnsi="Arial Narrow"/>
                <w:bCs/>
                <w:sz w:val="20"/>
                <w:szCs w:val="20"/>
              </w:rPr>
              <w:t>$</w:t>
            </w:r>
            <w:r>
              <w:rPr>
                <w:rFonts w:ascii="Arial Narrow" w:hAnsi="Arial Narrow"/>
                <w:bCs/>
                <w:sz w:val="20"/>
                <w:szCs w:val="20"/>
              </w:rPr>
              <w:t>45</w:t>
            </w:r>
          </w:p>
        </w:tc>
      </w:tr>
      <w:tr w:rsidR="00D33CA6" w:rsidRPr="00D81C99" w14:paraId="3684A34D" w14:textId="77777777" w:rsidTr="00B30DE0">
        <w:trPr>
          <w:jc w:val="center"/>
        </w:trPr>
        <w:tc>
          <w:tcPr>
            <w:tcW w:w="2128" w:type="dxa"/>
            <w:vAlign w:val="center"/>
          </w:tcPr>
          <w:p w14:paraId="21B23830" w14:textId="77777777" w:rsidR="00D33CA6" w:rsidRPr="00D81C99" w:rsidRDefault="00D33CA6" w:rsidP="00B30DE0">
            <w:pPr>
              <w:pStyle w:val="SOB1Bold"/>
              <w:rPr>
                <w:rFonts w:ascii="Arial Narrow" w:hAnsi="Arial Narrow"/>
                <w:b w:val="0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 w:val="0"/>
                <w:bCs/>
                <w:sz w:val="20"/>
                <w:szCs w:val="20"/>
              </w:rPr>
              <w:t>90-Day Retail</w:t>
            </w:r>
          </w:p>
        </w:tc>
        <w:tc>
          <w:tcPr>
            <w:tcW w:w="2365" w:type="dxa"/>
          </w:tcPr>
          <w:p w14:paraId="4D224382" w14:textId="77777777" w:rsidR="00D33CA6" w:rsidRPr="00D81C99" w:rsidRDefault="00D33CA6" w:rsidP="00B30DE0">
            <w:pPr>
              <w:pStyle w:val="SOBRightCentered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33CA6" w:rsidRPr="00D81C99" w14:paraId="29543836" w14:textId="77777777" w:rsidTr="00B30DE0">
        <w:trPr>
          <w:jc w:val="center"/>
        </w:trPr>
        <w:tc>
          <w:tcPr>
            <w:tcW w:w="2128" w:type="dxa"/>
            <w:vAlign w:val="center"/>
          </w:tcPr>
          <w:p w14:paraId="197988FB" w14:textId="77777777" w:rsidR="00D33CA6" w:rsidRPr="00D81C99" w:rsidRDefault="00D33CA6" w:rsidP="00B30DE0">
            <w:pPr>
              <w:pStyle w:val="SOB2"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>Generic Drugs</w:t>
            </w:r>
          </w:p>
        </w:tc>
        <w:tc>
          <w:tcPr>
            <w:tcW w:w="2365" w:type="dxa"/>
          </w:tcPr>
          <w:p w14:paraId="6688CE03" w14:textId="77777777" w:rsidR="00D33CA6" w:rsidRPr="00D81C99" w:rsidRDefault="00D33CA6" w:rsidP="00B30DE0">
            <w:pPr>
              <w:pStyle w:val="SOBRightCentered"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>$15</w:t>
            </w:r>
          </w:p>
        </w:tc>
      </w:tr>
      <w:tr w:rsidR="00D33CA6" w:rsidRPr="00D81C99" w14:paraId="7AEED3D5" w14:textId="77777777" w:rsidTr="00B30DE0">
        <w:trPr>
          <w:jc w:val="center"/>
        </w:trPr>
        <w:tc>
          <w:tcPr>
            <w:tcW w:w="2128" w:type="dxa"/>
            <w:vAlign w:val="center"/>
          </w:tcPr>
          <w:p w14:paraId="1EFD3168" w14:textId="77777777" w:rsidR="00D33CA6" w:rsidRPr="00D81C99" w:rsidRDefault="00D33CA6" w:rsidP="00B30DE0">
            <w:pPr>
              <w:pStyle w:val="SOB2"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>Preferred Brands</w:t>
            </w:r>
          </w:p>
        </w:tc>
        <w:tc>
          <w:tcPr>
            <w:tcW w:w="2365" w:type="dxa"/>
          </w:tcPr>
          <w:p w14:paraId="725D28B0" w14:textId="77777777" w:rsidR="00D33CA6" w:rsidRPr="00D81C99" w:rsidRDefault="00D33CA6" w:rsidP="00B30DE0">
            <w:pPr>
              <w:pStyle w:val="SOBRightCentered"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>$55</w:t>
            </w:r>
          </w:p>
        </w:tc>
      </w:tr>
      <w:tr w:rsidR="00D33CA6" w:rsidRPr="00D81C99" w14:paraId="6A19DD39" w14:textId="77777777" w:rsidTr="00B30DE0">
        <w:trPr>
          <w:jc w:val="center"/>
        </w:trPr>
        <w:tc>
          <w:tcPr>
            <w:tcW w:w="2128" w:type="dxa"/>
            <w:vAlign w:val="center"/>
          </w:tcPr>
          <w:p w14:paraId="374181CC" w14:textId="77777777" w:rsidR="00D33CA6" w:rsidRPr="00D81C99" w:rsidRDefault="00D33CA6" w:rsidP="00B30DE0">
            <w:pPr>
              <w:pStyle w:val="SOB2"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>Non-Preferred Brands</w:t>
            </w:r>
          </w:p>
        </w:tc>
        <w:tc>
          <w:tcPr>
            <w:tcW w:w="2365" w:type="dxa"/>
          </w:tcPr>
          <w:p w14:paraId="671D4CD8" w14:textId="77777777" w:rsidR="00D33CA6" w:rsidRPr="00D81C99" w:rsidRDefault="00D33CA6" w:rsidP="00B30DE0">
            <w:pPr>
              <w:pStyle w:val="SOBRightCentered"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>$85</w:t>
            </w:r>
          </w:p>
        </w:tc>
      </w:tr>
      <w:tr w:rsidR="00D33CA6" w:rsidRPr="00D81C99" w14:paraId="50226146" w14:textId="77777777" w:rsidTr="00B30DE0">
        <w:trPr>
          <w:jc w:val="center"/>
        </w:trPr>
        <w:tc>
          <w:tcPr>
            <w:tcW w:w="2128" w:type="dxa"/>
            <w:vAlign w:val="center"/>
          </w:tcPr>
          <w:p w14:paraId="7D48BCFA" w14:textId="77777777" w:rsidR="00D33CA6" w:rsidRPr="00D81C99" w:rsidRDefault="00D33CA6" w:rsidP="00B30DE0">
            <w:pPr>
              <w:pStyle w:val="SOB1Bold"/>
              <w:keepNext/>
              <w:rPr>
                <w:rFonts w:ascii="Arial Narrow" w:hAnsi="Arial Narrow"/>
                <w:b w:val="0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 w:val="0"/>
                <w:bCs/>
                <w:sz w:val="20"/>
                <w:szCs w:val="20"/>
              </w:rPr>
              <w:t>Mail-Order</w:t>
            </w:r>
          </w:p>
        </w:tc>
        <w:tc>
          <w:tcPr>
            <w:tcW w:w="2365" w:type="dxa"/>
          </w:tcPr>
          <w:p w14:paraId="6A86CAE3" w14:textId="77777777" w:rsidR="00D33CA6" w:rsidRPr="00D81C99" w:rsidRDefault="00D33CA6" w:rsidP="00B30DE0">
            <w:pPr>
              <w:pStyle w:val="SOBRightCentered"/>
              <w:keepNext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33CA6" w:rsidRPr="00D81C99" w14:paraId="7C894656" w14:textId="77777777" w:rsidTr="00B30DE0">
        <w:trPr>
          <w:jc w:val="center"/>
        </w:trPr>
        <w:tc>
          <w:tcPr>
            <w:tcW w:w="2128" w:type="dxa"/>
            <w:vAlign w:val="center"/>
          </w:tcPr>
          <w:p w14:paraId="51FA891B" w14:textId="77777777" w:rsidR="00D33CA6" w:rsidRPr="00D81C99" w:rsidRDefault="00D33CA6" w:rsidP="00B30DE0">
            <w:pPr>
              <w:pStyle w:val="SOB2"/>
              <w:keepNext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>Generic Drugs</w:t>
            </w:r>
          </w:p>
        </w:tc>
        <w:tc>
          <w:tcPr>
            <w:tcW w:w="2365" w:type="dxa"/>
          </w:tcPr>
          <w:p w14:paraId="136AA003" w14:textId="77777777" w:rsidR="00D33CA6" w:rsidRPr="00D81C99" w:rsidRDefault="00D33CA6" w:rsidP="00B30DE0">
            <w:pPr>
              <w:pStyle w:val="SOBRightCentered"/>
              <w:keepNext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>$10</w:t>
            </w:r>
          </w:p>
        </w:tc>
      </w:tr>
      <w:tr w:rsidR="00D33CA6" w:rsidRPr="00D81C99" w14:paraId="6F9DD3B1" w14:textId="77777777" w:rsidTr="00B30DE0">
        <w:trPr>
          <w:jc w:val="center"/>
        </w:trPr>
        <w:tc>
          <w:tcPr>
            <w:tcW w:w="2128" w:type="dxa"/>
            <w:vAlign w:val="center"/>
          </w:tcPr>
          <w:p w14:paraId="395C5ABD" w14:textId="77777777" w:rsidR="00D33CA6" w:rsidRPr="00D81C99" w:rsidRDefault="00D33CA6" w:rsidP="00B30DE0">
            <w:pPr>
              <w:pStyle w:val="SOB2"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>Preferred Brands</w:t>
            </w:r>
          </w:p>
        </w:tc>
        <w:tc>
          <w:tcPr>
            <w:tcW w:w="2365" w:type="dxa"/>
          </w:tcPr>
          <w:p w14:paraId="2711C420" w14:textId="77777777" w:rsidR="00D33CA6" w:rsidRPr="00D81C99" w:rsidRDefault="00D33CA6" w:rsidP="00B30DE0">
            <w:pPr>
              <w:pStyle w:val="SOBRightCentered"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>$40</w:t>
            </w:r>
          </w:p>
        </w:tc>
      </w:tr>
      <w:tr w:rsidR="00D33CA6" w:rsidRPr="00D81C99" w14:paraId="294B332F" w14:textId="77777777" w:rsidTr="00B30DE0">
        <w:trPr>
          <w:trHeight w:val="269"/>
          <w:jc w:val="center"/>
        </w:trPr>
        <w:tc>
          <w:tcPr>
            <w:tcW w:w="2128" w:type="dxa"/>
            <w:vAlign w:val="center"/>
          </w:tcPr>
          <w:p w14:paraId="14CF25DD" w14:textId="77777777" w:rsidR="00D33CA6" w:rsidRPr="00D81C99" w:rsidRDefault="00D33CA6" w:rsidP="00B30DE0">
            <w:pPr>
              <w:pStyle w:val="SOB2"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>Non-Preferred Brands</w:t>
            </w:r>
          </w:p>
        </w:tc>
        <w:tc>
          <w:tcPr>
            <w:tcW w:w="2365" w:type="dxa"/>
          </w:tcPr>
          <w:p w14:paraId="69EC4CCD" w14:textId="77777777" w:rsidR="00D33CA6" w:rsidRPr="00D81C99" w:rsidRDefault="00D33CA6" w:rsidP="00B30DE0">
            <w:pPr>
              <w:pStyle w:val="SOBRightCentered"/>
              <w:rPr>
                <w:rFonts w:ascii="Arial Narrow" w:hAnsi="Arial Narrow"/>
                <w:bCs/>
                <w:sz w:val="20"/>
                <w:szCs w:val="20"/>
              </w:rPr>
            </w:pPr>
            <w:r w:rsidRPr="00D81C99">
              <w:rPr>
                <w:rFonts w:ascii="Arial Narrow" w:hAnsi="Arial Narrow"/>
                <w:bCs/>
                <w:sz w:val="20"/>
                <w:szCs w:val="20"/>
              </w:rPr>
              <w:t>$55</w:t>
            </w:r>
          </w:p>
        </w:tc>
      </w:tr>
    </w:tbl>
    <w:p w14:paraId="4C0098F8" w14:textId="5FDDE62D" w:rsidR="00D33CA6" w:rsidRPr="00270CDD" w:rsidRDefault="00D33CA6" w:rsidP="00D33CA6">
      <w:pPr>
        <w:spacing w:before="33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Foot Orthotics Covered for Medicare Eligible Retirees and Their Dependents</w:t>
      </w:r>
    </w:p>
    <w:p w14:paraId="76E53AD6" w14:textId="7A29D0B1" w:rsidR="000932CA" w:rsidRDefault="00E266CA" w:rsidP="00950C4C">
      <w:pPr>
        <w:spacing w:before="2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057B52" w:rsidRPr="00057B52">
        <w:rPr>
          <w:rFonts w:ascii="Arial" w:hAnsi="Arial" w:cs="Arial"/>
          <w:szCs w:val="22"/>
        </w:rPr>
        <w:t xml:space="preserve">he Fund will cover </w:t>
      </w:r>
      <w:r w:rsidR="000932CA">
        <w:rPr>
          <w:rFonts w:ascii="Arial" w:hAnsi="Arial" w:cs="Arial"/>
          <w:szCs w:val="22"/>
        </w:rPr>
        <w:t>up to two pairs of foot orthotics every three calendar years if medically necessa</w:t>
      </w:r>
      <w:r w:rsidR="00A969D7">
        <w:rPr>
          <w:rFonts w:ascii="Arial" w:hAnsi="Arial" w:cs="Arial"/>
          <w:szCs w:val="22"/>
        </w:rPr>
        <w:t>ry.  Regular coinsurance rates will apply (90% in-network, 70% out-of-network).</w:t>
      </w:r>
      <w:r w:rsidR="000932CA">
        <w:rPr>
          <w:rFonts w:ascii="Arial" w:hAnsi="Arial" w:cs="Arial"/>
          <w:szCs w:val="22"/>
        </w:rPr>
        <w:t xml:space="preserve">  </w:t>
      </w:r>
      <w:r w:rsidR="00950C4C" w:rsidRPr="00950C4C">
        <w:rPr>
          <w:rFonts w:ascii="Arial" w:hAnsi="Arial" w:cs="Arial"/>
          <w:szCs w:val="22"/>
        </w:rPr>
        <w:t>Foot orthotics are custom-made and prescribed by a physician or podiatrist.</w:t>
      </w:r>
    </w:p>
    <w:p w14:paraId="24375C6A" w14:textId="1F5C9813" w:rsidR="00950C4C" w:rsidRPr="00057B52" w:rsidRDefault="00D33CA6" w:rsidP="00950C4C">
      <w:pPr>
        <w:spacing w:before="2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benefit is for all </w:t>
      </w:r>
      <w:r w:rsidR="00E266CA" w:rsidRPr="00D33CA6">
        <w:rPr>
          <w:rFonts w:ascii="Arial" w:hAnsi="Arial" w:cs="Arial"/>
          <w:szCs w:val="22"/>
        </w:rPr>
        <w:t>Medicare</w:t>
      </w:r>
      <w:r w:rsidR="00E266CA">
        <w:rPr>
          <w:rFonts w:ascii="Arial" w:hAnsi="Arial" w:cs="Arial"/>
          <w:szCs w:val="22"/>
        </w:rPr>
        <w:t>-</w:t>
      </w:r>
      <w:r w:rsidR="00E266CA" w:rsidRPr="00D33CA6">
        <w:rPr>
          <w:rFonts w:ascii="Arial" w:hAnsi="Arial" w:cs="Arial"/>
          <w:szCs w:val="22"/>
        </w:rPr>
        <w:t>eligible retiree and their dependents</w:t>
      </w:r>
      <w:r w:rsidR="00E266C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and </w:t>
      </w:r>
      <w:r w:rsidR="00950C4C" w:rsidRPr="00950C4C">
        <w:rPr>
          <w:rFonts w:ascii="Arial" w:hAnsi="Arial" w:cs="Arial"/>
          <w:szCs w:val="22"/>
        </w:rPr>
        <w:t xml:space="preserve">should </w:t>
      </w:r>
      <w:r>
        <w:rPr>
          <w:rFonts w:ascii="Arial" w:hAnsi="Arial" w:cs="Arial"/>
          <w:szCs w:val="22"/>
        </w:rPr>
        <w:t xml:space="preserve">be </w:t>
      </w:r>
      <w:r w:rsidR="00950C4C" w:rsidRPr="00950C4C">
        <w:rPr>
          <w:rFonts w:ascii="Arial" w:hAnsi="Arial" w:cs="Arial"/>
          <w:szCs w:val="22"/>
        </w:rPr>
        <w:t>pre-certif</w:t>
      </w:r>
      <w:r>
        <w:rPr>
          <w:rFonts w:ascii="Arial" w:hAnsi="Arial" w:cs="Arial"/>
          <w:szCs w:val="22"/>
        </w:rPr>
        <w:t>ied</w:t>
      </w:r>
      <w:r w:rsidR="00950C4C" w:rsidRPr="00950C4C">
        <w:rPr>
          <w:rFonts w:ascii="Arial" w:hAnsi="Arial" w:cs="Arial"/>
          <w:szCs w:val="22"/>
        </w:rPr>
        <w:t xml:space="preserve"> with the utilization review organization to ensure that they meet the Plan’s medical necessity criteria.</w:t>
      </w:r>
    </w:p>
    <w:p w14:paraId="0F89EC03" w14:textId="77777777" w:rsidR="00E266CA" w:rsidRDefault="00E266CA" w:rsidP="00E266CA">
      <w:pPr>
        <w:jc w:val="center"/>
        <w:rPr>
          <w:rFonts w:ascii="Arial" w:hAnsi="Arial" w:cs="Arial"/>
          <w:sz w:val="20"/>
        </w:rPr>
      </w:pPr>
    </w:p>
    <w:p w14:paraId="51402E13" w14:textId="77777777" w:rsidR="00E266CA" w:rsidRDefault="00E266CA" w:rsidP="00E266CA">
      <w:pPr>
        <w:jc w:val="center"/>
        <w:rPr>
          <w:rFonts w:ascii="Arial" w:hAnsi="Arial" w:cs="Arial"/>
          <w:sz w:val="20"/>
        </w:rPr>
      </w:pPr>
    </w:p>
    <w:p w14:paraId="43C87104" w14:textId="77777777" w:rsidR="00E266CA" w:rsidRDefault="00E266CA" w:rsidP="00E266CA">
      <w:pPr>
        <w:jc w:val="center"/>
        <w:rPr>
          <w:rFonts w:ascii="Arial" w:hAnsi="Arial" w:cs="Arial"/>
          <w:sz w:val="20"/>
        </w:rPr>
      </w:pPr>
    </w:p>
    <w:p w14:paraId="6E81C9F2" w14:textId="77777777" w:rsidR="00E266CA" w:rsidRDefault="00E266CA" w:rsidP="00E266CA">
      <w:pPr>
        <w:jc w:val="center"/>
        <w:rPr>
          <w:rFonts w:ascii="Arial" w:hAnsi="Arial" w:cs="Arial"/>
          <w:sz w:val="20"/>
        </w:rPr>
      </w:pPr>
    </w:p>
    <w:p w14:paraId="5524BAA2" w14:textId="77777777" w:rsidR="00E266CA" w:rsidRDefault="00E266CA" w:rsidP="00E266CA">
      <w:pPr>
        <w:jc w:val="center"/>
        <w:rPr>
          <w:rFonts w:ascii="Arial" w:hAnsi="Arial" w:cs="Arial"/>
          <w:sz w:val="20"/>
        </w:rPr>
      </w:pPr>
    </w:p>
    <w:p w14:paraId="4B9AAF8C" w14:textId="7D18AE91" w:rsidR="00EF1ECC" w:rsidRPr="001E5308" w:rsidRDefault="00DB4DAA" w:rsidP="00E266CA">
      <w:pPr>
        <w:spacing w:before="120"/>
        <w:jc w:val="center"/>
        <w:rPr>
          <w:rFonts w:ascii="Arial" w:hAnsi="Arial" w:cs="Arial"/>
          <w:sz w:val="20"/>
        </w:rPr>
      </w:pPr>
      <w:r w:rsidRPr="001E5308">
        <w:rPr>
          <w:rFonts w:ascii="Arial" w:hAnsi="Arial" w:cs="Arial"/>
          <w:sz w:val="20"/>
        </w:rPr>
        <w:sym w:font="Wingdings" w:char="F09F"/>
      </w:r>
      <w:r w:rsidRPr="001E5308">
        <w:rPr>
          <w:rFonts w:ascii="Arial" w:hAnsi="Arial" w:cs="Arial"/>
          <w:sz w:val="20"/>
        </w:rPr>
        <w:t xml:space="preserve"> Summary of Material Modifications </w:t>
      </w:r>
      <w:r w:rsidRPr="001E5308">
        <w:rPr>
          <w:rFonts w:ascii="Arial" w:hAnsi="Arial" w:cs="Arial"/>
          <w:sz w:val="20"/>
        </w:rPr>
        <w:sym w:font="Wingdings" w:char="F09F"/>
      </w:r>
      <w:r w:rsidRPr="001E5308">
        <w:rPr>
          <w:rFonts w:ascii="Arial" w:hAnsi="Arial" w:cs="Arial"/>
          <w:sz w:val="20"/>
        </w:rPr>
        <w:t xml:space="preserve"> </w:t>
      </w:r>
      <w:r w:rsidR="001E5308">
        <w:rPr>
          <w:rFonts w:ascii="Arial" w:hAnsi="Arial" w:cs="Arial"/>
          <w:sz w:val="20"/>
        </w:rPr>
        <w:t xml:space="preserve">EIN: </w:t>
      </w:r>
      <w:r w:rsidRPr="001E5308">
        <w:rPr>
          <w:rFonts w:ascii="Arial" w:hAnsi="Arial" w:cs="Arial"/>
          <w:sz w:val="20"/>
        </w:rPr>
        <w:t>39-2951116</w:t>
      </w:r>
      <w:r w:rsidR="001E5308">
        <w:rPr>
          <w:rFonts w:ascii="Arial" w:hAnsi="Arial" w:cs="Arial"/>
          <w:sz w:val="20"/>
        </w:rPr>
        <w:t xml:space="preserve"> </w:t>
      </w:r>
      <w:r w:rsidR="001E5308" w:rsidRPr="001E5308">
        <w:rPr>
          <w:rFonts w:ascii="Arial" w:hAnsi="Arial" w:cs="Arial"/>
          <w:sz w:val="20"/>
        </w:rPr>
        <w:sym w:font="Wingdings" w:char="F09F"/>
      </w:r>
      <w:r w:rsidR="001E5308">
        <w:rPr>
          <w:rFonts w:ascii="Arial" w:hAnsi="Arial" w:cs="Arial"/>
          <w:sz w:val="20"/>
        </w:rPr>
        <w:t xml:space="preserve"> </w:t>
      </w:r>
      <w:r w:rsidRPr="001E5308">
        <w:rPr>
          <w:rFonts w:ascii="Arial" w:hAnsi="Arial" w:cs="Arial"/>
          <w:sz w:val="20"/>
        </w:rPr>
        <w:t>Plan No.</w:t>
      </w:r>
      <w:r w:rsidR="001E5308">
        <w:rPr>
          <w:rFonts w:ascii="Arial" w:hAnsi="Arial" w:cs="Arial"/>
          <w:sz w:val="20"/>
        </w:rPr>
        <w:t>:</w:t>
      </w:r>
      <w:r w:rsidRPr="001E5308">
        <w:rPr>
          <w:rFonts w:ascii="Arial" w:hAnsi="Arial" w:cs="Arial"/>
          <w:sz w:val="20"/>
        </w:rPr>
        <w:t xml:space="preserve"> 501 </w:t>
      </w:r>
      <w:r w:rsidRPr="001E5308">
        <w:rPr>
          <w:rFonts w:ascii="Arial" w:hAnsi="Arial" w:cs="Arial"/>
          <w:sz w:val="20"/>
        </w:rPr>
        <w:sym w:font="Wingdings" w:char="F09F"/>
      </w:r>
      <w:r w:rsidRPr="001E5308">
        <w:rPr>
          <w:rFonts w:ascii="Arial" w:hAnsi="Arial" w:cs="Arial"/>
          <w:sz w:val="20"/>
        </w:rPr>
        <w:t xml:space="preserve"> SMM 202</w:t>
      </w:r>
      <w:r w:rsidR="00E42505">
        <w:rPr>
          <w:rFonts w:ascii="Arial" w:hAnsi="Arial" w:cs="Arial"/>
          <w:sz w:val="20"/>
        </w:rPr>
        <w:t>2</w:t>
      </w:r>
      <w:r w:rsidRPr="001E5308">
        <w:rPr>
          <w:rFonts w:ascii="Arial" w:hAnsi="Arial" w:cs="Arial"/>
          <w:sz w:val="20"/>
        </w:rPr>
        <w:t>-</w:t>
      </w:r>
      <w:r w:rsidR="00950C4C">
        <w:rPr>
          <w:rFonts w:ascii="Arial" w:hAnsi="Arial" w:cs="Arial"/>
          <w:sz w:val="20"/>
        </w:rPr>
        <w:t>2</w:t>
      </w:r>
      <w:r w:rsidR="001E5308">
        <w:rPr>
          <w:rFonts w:ascii="Arial" w:hAnsi="Arial" w:cs="Arial"/>
          <w:sz w:val="20"/>
        </w:rPr>
        <w:t xml:space="preserve"> </w:t>
      </w:r>
      <w:r w:rsidR="001E5308" w:rsidRPr="001E5308">
        <w:rPr>
          <w:rFonts w:ascii="Arial" w:hAnsi="Arial" w:cs="Arial"/>
          <w:sz w:val="20"/>
        </w:rPr>
        <w:sym w:font="Wingdings" w:char="F09F"/>
      </w:r>
    </w:p>
    <w:sectPr w:rsidR="00EF1ECC" w:rsidRPr="001E5308" w:rsidSect="00492BDA">
      <w:footerReference w:type="default" r:id="rId8"/>
      <w:pgSz w:w="12240" w:h="15840" w:code="1"/>
      <w:pgMar w:top="1728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F4BE" w14:textId="77777777" w:rsidR="002759A5" w:rsidRDefault="002759A5" w:rsidP="002759A5">
      <w:r>
        <w:separator/>
      </w:r>
    </w:p>
  </w:endnote>
  <w:endnote w:type="continuationSeparator" w:id="0">
    <w:p w14:paraId="34742B51" w14:textId="77777777" w:rsidR="002759A5" w:rsidRDefault="002759A5" w:rsidP="0027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0B9B" w14:textId="1DC2DC9C" w:rsidR="002759A5" w:rsidRPr="00785D7A" w:rsidRDefault="00785D7A" w:rsidP="00785D7A">
    <w:pPr>
      <w:pStyle w:val="Footer"/>
      <w:jc w:val="right"/>
      <w:rPr>
        <w:rFonts w:ascii="Arial" w:hAnsi="Arial" w:cs="Arial"/>
        <w:sz w:val="16"/>
        <w:szCs w:val="16"/>
      </w:rPr>
    </w:pPr>
    <w:r w:rsidRPr="00785D7A">
      <w:rPr>
        <w:rFonts w:ascii="Arial" w:hAnsi="Arial" w:cs="Arial"/>
        <w:sz w:val="16"/>
        <w:szCs w:val="16"/>
      </w:rPr>
      <w:t>S:\shared\annual mailings\2022\welfare SMM August 2022.doc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4926" w14:textId="77777777" w:rsidR="002759A5" w:rsidRDefault="002759A5" w:rsidP="002759A5">
      <w:r>
        <w:separator/>
      </w:r>
    </w:p>
  </w:footnote>
  <w:footnote w:type="continuationSeparator" w:id="0">
    <w:p w14:paraId="751FA5AD" w14:textId="77777777" w:rsidR="002759A5" w:rsidRDefault="002759A5" w:rsidP="0027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BE4"/>
    <w:multiLevelType w:val="hybridMultilevel"/>
    <w:tmpl w:val="D966C908"/>
    <w:lvl w:ilvl="0" w:tplc="B7442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E023E"/>
    <w:multiLevelType w:val="hybridMultilevel"/>
    <w:tmpl w:val="BE38F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E6818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D4A7D"/>
    <w:multiLevelType w:val="hybridMultilevel"/>
    <w:tmpl w:val="FEA6BA24"/>
    <w:lvl w:ilvl="0" w:tplc="97E22684">
      <w:start w:val="1"/>
      <w:numFmt w:val="decimal"/>
      <w:pStyle w:val="Num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3070B6">
      <w:start w:val="1"/>
      <w:numFmt w:val="decimal"/>
      <w:lvlText w:val="%2."/>
      <w:lvlJc w:val="left"/>
      <w:pPr>
        <w:ind w:left="-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3" w15:restartNumberingAfterBreak="0">
    <w:nsid w:val="411926CB"/>
    <w:multiLevelType w:val="hybridMultilevel"/>
    <w:tmpl w:val="EC74D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55DC5"/>
    <w:multiLevelType w:val="hybridMultilevel"/>
    <w:tmpl w:val="12EE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E51B0"/>
    <w:multiLevelType w:val="hybridMultilevel"/>
    <w:tmpl w:val="C4E04556"/>
    <w:lvl w:ilvl="0" w:tplc="3FE6B2A8">
      <w:start w:val="1"/>
      <w:numFmt w:val="bullet"/>
      <w:pStyle w:val="BulletLev1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E2789"/>
    <w:multiLevelType w:val="hybridMultilevel"/>
    <w:tmpl w:val="D6447106"/>
    <w:lvl w:ilvl="0" w:tplc="66B6BDAE">
      <w:start w:val="1"/>
      <w:numFmt w:val="decimal"/>
      <w:pStyle w:val="Level3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74790"/>
    <w:multiLevelType w:val="hybridMultilevel"/>
    <w:tmpl w:val="1BB65AE0"/>
    <w:lvl w:ilvl="0" w:tplc="9634D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677E6"/>
    <w:multiLevelType w:val="hybridMultilevel"/>
    <w:tmpl w:val="24CE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065347">
    <w:abstractNumId w:val="1"/>
  </w:num>
  <w:num w:numId="2" w16cid:durableId="600572365">
    <w:abstractNumId w:val="8"/>
  </w:num>
  <w:num w:numId="3" w16cid:durableId="1842813138">
    <w:abstractNumId w:val="7"/>
  </w:num>
  <w:num w:numId="4" w16cid:durableId="815803297">
    <w:abstractNumId w:val="6"/>
  </w:num>
  <w:num w:numId="5" w16cid:durableId="659237857">
    <w:abstractNumId w:val="5"/>
  </w:num>
  <w:num w:numId="6" w16cid:durableId="1937713045">
    <w:abstractNumId w:val="0"/>
  </w:num>
  <w:num w:numId="7" w16cid:durableId="1309048066">
    <w:abstractNumId w:val="6"/>
    <w:lvlOverride w:ilvl="0">
      <w:startOverride w:val="1"/>
    </w:lvlOverride>
  </w:num>
  <w:num w:numId="8" w16cid:durableId="1416631363">
    <w:abstractNumId w:val="2"/>
    <w:lvlOverride w:ilvl="0">
      <w:startOverride w:val="1"/>
    </w:lvlOverride>
  </w:num>
  <w:num w:numId="9" w16cid:durableId="1453865549">
    <w:abstractNumId w:val="2"/>
  </w:num>
  <w:num w:numId="10" w16cid:durableId="1916011636">
    <w:abstractNumId w:val="4"/>
  </w:num>
  <w:num w:numId="11" w16cid:durableId="1837113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CC"/>
    <w:rsid w:val="0000181F"/>
    <w:rsid w:val="00057B52"/>
    <w:rsid w:val="000932CA"/>
    <w:rsid w:val="000945AD"/>
    <w:rsid w:val="000A7E57"/>
    <w:rsid w:val="000E598B"/>
    <w:rsid w:val="000F0A94"/>
    <w:rsid w:val="00102EF3"/>
    <w:rsid w:val="00153B03"/>
    <w:rsid w:val="001962B5"/>
    <w:rsid w:val="001E5308"/>
    <w:rsid w:val="001F25A3"/>
    <w:rsid w:val="002354A0"/>
    <w:rsid w:val="00270CDD"/>
    <w:rsid w:val="002759A5"/>
    <w:rsid w:val="002906A8"/>
    <w:rsid w:val="002E47C7"/>
    <w:rsid w:val="003626E4"/>
    <w:rsid w:val="003A3D14"/>
    <w:rsid w:val="003B1C66"/>
    <w:rsid w:val="003D29AD"/>
    <w:rsid w:val="003E4714"/>
    <w:rsid w:val="00467A9E"/>
    <w:rsid w:val="004707BD"/>
    <w:rsid w:val="0048349E"/>
    <w:rsid w:val="00492BDA"/>
    <w:rsid w:val="004D3578"/>
    <w:rsid w:val="004E55AC"/>
    <w:rsid w:val="00566C58"/>
    <w:rsid w:val="00575AA3"/>
    <w:rsid w:val="006E0604"/>
    <w:rsid w:val="00703A44"/>
    <w:rsid w:val="00785D7A"/>
    <w:rsid w:val="007D0563"/>
    <w:rsid w:val="00834509"/>
    <w:rsid w:val="00841230"/>
    <w:rsid w:val="008B194E"/>
    <w:rsid w:val="00923A80"/>
    <w:rsid w:val="009308EA"/>
    <w:rsid w:val="00946E52"/>
    <w:rsid w:val="00950C4C"/>
    <w:rsid w:val="00954F50"/>
    <w:rsid w:val="009C19C0"/>
    <w:rsid w:val="009E2108"/>
    <w:rsid w:val="00A21117"/>
    <w:rsid w:val="00A37D1A"/>
    <w:rsid w:val="00A44684"/>
    <w:rsid w:val="00A969D7"/>
    <w:rsid w:val="00AA133E"/>
    <w:rsid w:val="00AB3101"/>
    <w:rsid w:val="00AC1908"/>
    <w:rsid w:val="00AD6815"/>
    <w:rsid w:val="00AE79AD"/>
    <w:rsid w:val="00B829FF"/>
    <w:rsid w:val="00B85B0C"/>
    <w:rsid w:val="00C42582"/>
    <w:rsid w:val="00C62C55"/>
    <w:rsid w:val="00CE2D91"/>
    <w:rsid w:val="00D33CA6"/>
    <w:rsid w:val="00D360C7"/>
    <w:rsid w:val="00D734A5"/>
    <w:rsid w:val="00DB4DAA"/>
    <w:rsid w:val="00DF3EE8"/>
    <w:rsid w:val="00E266CA"/>
    <w:rsid w:val="00E30F7E"/>
    <w:rsid w:val="00E36959"/>
    <w:rsid w:val="00E42505"/>
    <w:rsid w:val="00E50076"/>
    <w:rsid w:val="00E928F5"/>
    <w:rsid w:val="00EA3E97"/>
    <w:rsid w:val="00EF1ECC"/>
    <w:rsid w:val="00F15F37"/>
    <w:rsid w:val="00F3723C"/>
    <w:rsid w:val="00FB6D93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170D"/>
  <w15:chartTrackingRefBased/>
  <w15:docId w15:val="{44730270-EF2E-411B-9601-977E164A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108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664"/>
        <w:tab w:val="left" w:pos="3168"/>
        <w:tab w:val="left" w:pos="3600"/>
      </w:tabs>
      <w:spacing w:after="0" w:line="240" w:lineRule="auto"/>
      <w:jc w:val="both"/>
    </w:pPr>
    <w:rPr>
      <w:rFonts w:ascii="Univers" w:eastAsia="Times New Roman" w:hAnsi="Univer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03"/>
    <w:pPr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F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5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5A3"/>
    <w:rPr>
      <w:rFonts w:ascii="Univers" w:eastAsia="Times New Roman" w:hAnsi="Univer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5A3"/>
    <w:rPr>
      <w:rFonts w:ascii="Univers" w:eastAsia="Times New Roman" w:hAnsi="Univer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25A3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A3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C580D"/>
    <w:pPr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</w:tabs>
      <w:jc w:val="left"/>
    </w:pPr>
    <w:rPr>
      <w:rFonts w:ascii="Times New Roman" w:hAnsi="Times New Roman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C580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Preventivelist">
    <w:name w:val="Preventive list"/>
    <w:basedOn w:val="List"/>
    <w:uiPriority w:val="99"/>
    <w:qFormat/>
    <w:rsid w:val="00DF3EE8"/>
    <w:pPr>
      <w:widowControl w:val="0"/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  <w:tab w:val="left" w:pos="255"/>
      </w:tabs>
      <w:suppressAutoHyphens/>
      <w:ind w:left="0" w:firstLine="0"/>
      <w:contextualSpacing w:val="0"/>
      <w:jc w:val="left"/>
    </w:pPr>
    <w:rPr>
      <w:rFonts w:ascii="Times New Roman" w:hAnsi="Times New Roman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DF3EE8"/>
    <w:pPr>
      <w:ind w:left="360" w:hanging="360"/>
      <w:contextualSpacing/>
    </w:pPr>
  </w:style>
  <w:style w:type="paragraph" w:customStyle="1" w:styleId="Level3">
    <w:name w:val="Level 3"/>
    <w:qFormat/>
    <w:rsid w:val="00DF3EE8"/>
    <w:pPr>
      <w:numPr>
        <w:numId w:val="4"/>
      </w:numPr>
      <w:spacing w:before="220" w:after="0" w:line="262" w:lineRule="auto"/>
      <w:jc w:val="both"/>
    </w:pPr>
    <w:rPr>
      <w:rFonts w:ascii="Times New Roman" w:eastAsia="Calibri" w:hAnsi="Times New Roman" w:cs="Times New Roman"/>
    </w:rPr>
  </w:style>
  <w:style w:type="paragraph" w:customStyle="1" w:styleId="HalfSpace">
    <w:name w:val="Half Space"/>
    <w:basedOn w:val="Normal"/>
    <w:uiPriority w:val="99"/>
    <w:qFormat/>
    <w:rsid w:val="00DF3EE8"/>
    <w:pPr>
      <w:keepNext/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</w:tabs>
    </w:pPr>
    <w:rPr>
      <w:rFonts w:ascii="Times New Roman" w:eastAsia="Calibri" w:hAnsi="Times New Roman"/>
      <w:szCs w:val="22"/>
    </w:rPr>
  </w:style>
  <w:style w:type="paragraph" w:customStyle="1" w:styleId="BulletLev1">
    <w:name w:val="Bullet Lev1"/>
    <w:basedOn w:val="Normal"/>
    <w:uiPriority w:val="1"/>
    <w:qFormat/>
    <w:rsid w:val="00954F50"/>
    <w:pPr>
      <w:numPr>
        <w:numId w:val="5"/>
      </w:numPr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</w:tabs>
      <w:spacing w:before="160" w:line="252" w:lineRule="auto"/>
    </w:pPr>
    <w:rPr>
      <w:rFonts w:ascii="Times New Roman" w:eastAsiaTheme="minorHAnsi" w:hAnsi="Times New Roman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759A5"/>
    <w:pPr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9A5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759A5"/>
    <w:pPr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A5"/>
    <w:rPr>
      <w:rFonts w:ascii="Univers" w:eastAsia="Times New Roman" w:hAnsi="Univers" w:cs="Times New Roman"/>
      <w:szCs w:val="20"/>
    </w:rPr>
  </w:style>
  <w:style w:type="paragraph" w:customStyle="1" w:styleId="Body">
    <w:name w:val="Body"/>
    <w:basedOn w:val="Normal"/>
    <w:link w:val="BodyChar"/>
    <w:uiPriority w:val="99"/>
    <w:qFormat/>
    <w:rsid w:val="00923A80"/>
    <w:pPr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</w:tabs>
      <w:spacing w:before="200" w:line="252" w:lineRule="auto"/>
    </w:pPr>
    <w:rPr>
      <w:rFonts w:ascii="Times New Roman" w:eastAsiaTheme="minorHAnsi" w:hAnsi="Times New Roman" w:cstheme="minorBidi"/>
      <w:szCs w:val="22"/>
    </w:rPr>
  </w:style>
  <w:style w:type="paragraph" w:customStyle="1" w:styleId="Num">
    <w:name w:val="Num"/>
    <w:basedOn w:val="Body"/>
    <w:rsid w:val="00923A80"/>
    <w:pPr>
      <w:numPr>
        <w:numId w:val="8"/>
      </w:numPr>
      <w:tabs>
        <w:tab w:val="left" w:pos="360"/>
      </w:tabs>
      <w:spacing w:before="160"/>
      <w:ind w:left="0" w:firstLine="0"/>
    </w:pPr>
  </w:style>
  <w:style w:type="character" w:customStyle="1" w:styleId="BodyChar">
    <w:name w:val="Body Char"/>
    <w:basedOn w:val="DefaultParagraphFont"/>
    <w:link w:val="Body"/>
    <w:uiPriority w:val="99"/>
    <w:rsid w:val="00923A80"/>
    <w:rPr>
      <w:rFonts w:ascii="Times New Roman" w:hAnsi="Times New Roman"/>
    </w:rPr>
  </w:style>
  <w:style w:type="paragraph" w:customStyle="1" w:styleId="SOB1Bold">
    <w:name w:val="SOB 1 Bold"/>
    <w:basedOn w:val="Normal"/>
    <w:qFormat/>
    <w:rsid w:val="00D33CA6"/>
    <w:pPr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</w:tabs>
      <w:suppressAutoHyphens/>
      <w:jc w:val="left"/>
    </w:pPr>
    <w:rPr>
      <w:rFonts w:ascii="Corbel" w:eastAsiaTheme="minorHAnsi" w:hAnsi="Corbel" w:cstheme="minorBidi"/>
      <w:b/>
      <w:sz w:val="21"/>
      <w:szCs w:val="21"/>
    </w:rPr>
  </w:style>
  <w:style w:type="paragraph" w:customStyle="1" w:styleId="SOB2">
    <w:name w:val="SOB 2"/>
    <w:basedOn w:val="SOB1Bold"/>
    <w:qFormat/>
    <w:rsid w:val="00D33CA6"/>
    <w:pPr>
      <w:ind w:left="216"/>
    </w:pPr>
    <w:rPr>
      <w:b w:val="0"/>
    </w:rPr>
  </w:style>
  <w:style w:type="paragraph" w:customStyle="1" w:styleId="SOBRightCentered">
    <w:name w:val="SOB Right Centered"/>
    <w:basedOn w:val="Normal"/>
    <w:qFormat/>
    <w:rsid w:val="00D33CA6"/>
    <w:pPr>
      <w:tabs>
        <w:tab w:val="clear" w:pos="432"/>
        <w:tab w:val="clear" w:pos="864"/>
        <w:tab w:val="clear" w:pos="1296"/>
        <w:tab w:val="clear" w:pos="1728"/>
        <w:tab w:val="clear" w:pos="2160"/>
        <w:tab w:val="clear" w:pos="2664"/>
        <w:tab w:val="clear" w:pos="3168"/>
        <w:tab w:val="clear" w:pos="3600"/>
      </w:tabs>
      <w:suppressAutoHyphens/>
      <w:jc w:val="center"/>
    </w:pPr>
    <w:rPr>
      <w:rFonts w:ascii="Corbel" w:eastAsiaTheme="minorHAnsi" w:hAnsi="Corbel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7B6E-5F5A-4117-9BD6-B30D9605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Foster and Foster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O'Neill</dc:creator>
  <cp:keywords/>
  <dc:description/>
  <cp:lastModifiedBy>Terry Musto</cp:lastModifiedBy>
  <cp:revision>2</cp:revision>
  <dcterms:created xsi:type="dcterms:W3CDTF">2022-08-18T11:59:00Z</dcterms:created>
  <dcterms:modified xsi:type="dcterms:W3CDTF">2022-08-18T11:59:00Z</dcterms:modified>
</cp:coreProperties>
</file>